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8.png" ContentType="image/png"/>
  <Override PartName="/word/media/rId55.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3a).Sensible heat flux between leaf and air is regulated by leaf boundary layer conductance (</w:t>
      </w:r>
      <m:oMath>
        <m:sSub>
          <m:e>
            <m:r>
              <m:t>g</m:t>
            </m:r>
          </m:e>
          <m:sub>
            <m:r>
              <m:t>a</m:t>
            </m:r>
          </m:sub>
        </m:sSub>
      </m:oMath>
      <w:r>
        <w:t xml:space="preserve">), which is greater in smaller leaves (Fig. 3d) and higher wind speeds [Fig. 3b]. Latent heat flux (</w:t>
      </w:r>
      <m:oMath>
        <m:r>
          <m:t>λ</m:t>
        </m:r>
        <m:r>
          <m:t>E</m:t>
        </m:r>
      </m:oMath>
      <w:r>
        <w:t xml:space="preserve">) through transpiration has a strong cooling effect, and is primarily regulated by stomatal conductance (</w:t>
      </w:r>
      <m:oMath>
        <m:sSub>
          <m:e>
            <m:r>
              <m:t>g</m:t>
            </m:r>
          </m:e>
          <m:sub>
            <m:r>
              <m:t>s</m:t>
            </m:r>
          </m:sub>
        </m:sSub>
      </m:oMath>
      <w:r>
        <w:t xml:space="preserve">), but also by RH through a direct effect on the leaf-to-air vapor gradient (Fig. 3c) and an indirect effect on</w:t>
      </w:r>
      <w:r>
        <w:t xml:space="preserve"> </w:t>
      </w:r>
      <m:oMath>
        <m:sSub>
          <m:e>
            <m:r>
              <m:t>g</m:t>
            </m:r>
          </m:e>
          <m:sub>
            <m:r>
              <m:t>s</m:t>
            </m:r>
          </m:sub>
        </m:sSub>
      </m:oMath>
      <w:r>
        <w:t xml:space="preserv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buffered lower canopy layers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6">
        <w:r>
          <w:rPr>
            <w:rStyle w:val="Hyperlink"/>
          </w:rPr>
          <w:t xml:space="preserve">ISSUE # 29</w:t>
        </w:r>
      </w:hyperlink>
      <w:r>
        <w:t xml:space="preserve">.</w:t>
      </w:r>
    </w:p>
    <w:bookmarkEnd w:id="47"/>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(Friedlingstein et al. 2006). Dynamic global vegetation models (DGVMs), which comprise the land surface models in ESMs, are used to predict the global distribution of vegetation types and biosphere-atmosphere feedbacks (Foley et al., 1996; Sitch et al.,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et al. 2018), to big-leaf models that reduce 3D vegetation structure across the entire biosphere into a single vegetation layer (Bonan et al. 2003; Krinner et al., 2005). This simplification is computationally more efficient, although it comes at a cost of a lack of representation of important demographic processes and vertical light competition (Hurtt et al. 1998; Feeley et al., 2007; Smith et al. 2008).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 (Fisher et al. 2018).</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 (Moorcroft, Hurtt, &amp; Pacala, 2001; Banerjee &amp; Linn 2018; Bonan et al. 2021).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 (e.g., Rollinson et al. 2020).</w:t>
      </w:r>
    </w:p>
    <w:p>
      <w:pPr>
        <w:pStyle w:val="BodyText"/>
      </w:pPr>
      <w:r>
        <w:t xml:space="preserve">Though an improvement over big-leaf models, DGVMs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At the very least, multi-layered ecosystem models will likely be necessary for accurately predicting future forest function (e.g., de Pury &amp; Farquhar, 1997; Bonan et al 2021).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5"/>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6">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 (Hulley et al. 2019, Fisher et al. 2020) or drone- and tower-based FLIR cameras.</w:t>
      </w:r>
    </w:p>
    <w:p>
      <w:pPr>
        <w:pStyle w:val="BodyText"/>
      </w:pPr>
      <w:r>
        <w:t xml:space="preserve">Detailed structural information from lidar data has been used to measure tree height, DBH, and crown dimensions (Disney et al. 2019), evaluate spatial variation in vertical leaf area density profiles (Detto et al. 2015), and resolve complex seasonal and diurnal variation in shortwave radiation forcing in ecosystems (Musselman et al. 2013). In addition, shading by the overstory can be better represented to predict understory temperatures by modeling the time-varying interaction of the forest canopy with solar radiation, as has been done in other LIDAR-based analyses (e.g., Davis et al. 2019). Satellite and airborne thermal infrared remote sensing analyses are now being conducted at regional and continental scales, although very few applications exist at finer-scales necessary for understanding of vertical variation in plant canopy temperatures (Johnston et al. in review). (Pau et al. 2018) used data from a tower-based FLIR camera in combination with eddy-covariance data and found that tropical forest canopy temperatures were more strongly associated with GPP than air temperatures or VPD. In a savanna system in the western U.S., (Johnston et al. in review) 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57" w:name="references"/>
    <w:p>
      <w:pPr>
        <w:pStyle w:val="Heading2"/>
      </w:pPr>
      <w:r>
        <w:t xml:space="preserve">References</w:t>
      </w:r>
    </w:p>
    <w:bookmarkStart w:id="256"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8"/>
    <w:bookmarkStart w:id="79"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9"/>
    <w:bookmarkStart w:id="80"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9"/>
    <w:bookmarkStart w:id="90"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0"/>
    <w:bookmarkStart w:id="91"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1"/>
    <w:bookmarkStart w:id="92"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2"/>
    <w:bookmarkStart w:id="93"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3"/>
    <w:bookmarkStart w:id="94"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4"/>
    <w:bookmarkStart w:id="9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5"/>
    <w:bookmarkStart w:id="9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6"/>
    <w:bookmarkStart w:id="9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7"/>
    <w:bookmarkStart w:id="9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8"/>
    <w:bookmarkStart w:id="9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9"/>
    <w:bookmarkStart w:id="10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0"/>
    <w:bookmarkStart w:id="10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1"/>
    <w:bookmarkStart w:id="10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2"/>
    <w:bookmarkStart w:id="103"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3"/>
    <w:bookmarkStart w:id="104"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4"/>
    <w:bookmarkStart w:id="105"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5"/>
    <w:bookmarkStart w:id="106"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6"/>
    <w:bookmarkStart w:id="10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1"/>
    <w:bookmarkStart w:id="142"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42"/>
    <w:bookmarkStart w:id="143"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3"/>
    <w:bookmarkStart w:id="144"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4"/>
    <w:bookmarkStart w:id="145"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5"/>
    <w:bookmarkStart w:id="146"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6"/>
    <w:bookmarkStart w:id="147"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7"/>
    <w:bookmarkStart w:id="148"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8"/>
    <w:bookmarkStart w:id="149"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9"/>
    <w:bookmarkStart w:id="150"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50"/>
    <w:bookmarkStart w:id="151"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51"/>
    <w:bookmarkStart w:id="152"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2"/>
    <w:bookmarkStart w:id="153"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3"/>
    <w:bookmarkStart w:id="154"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4"/>
    <w:bookmarkStart w:id="155"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5"/>
    <w:bookmarkStart w:id="156"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6"/>
    <w:bookmarkStart w:id="157"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7"/>
    <w:bookmarkStart w:id="158"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8"/>
    <w:bookmarkStart w:id="159"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9"/>
    <w:bookmarkStart w:id="160"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60"/>
    <w:bookmarkStart w:id="161"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61"/>
    <w:bookmarkStart w:id="162"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2"/>
    <w:bookmarkStart w:id="163"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3"/>
    <w:bookmarkStart w:id="164"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4"/>
    <w:bookmarkStart w:id="16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5"/>
    <w:bookmarkStart w:id="16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6"/>
    <w:bookmarkStart w:id="167"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7"/>
    <w:bookmarkStart w:id="168"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8"/>
    <w:bookmarkStart w:id="169"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9"/>
    <w:bookmarkStart w:id="170"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70"/>
    <w:bookmarkStart w:id="171"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71"/>
    <w:bookmarkStart w:id="172"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2"/>
    <w:bookmarkStart w:id="173"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3"/>
    <w:bookmarkStart w:id="174"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4"/>
    <w:bookmarkStart w:id="175"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5"/>
    <w:bookmarkStart w:id="176"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6"/>
    <w:bookmarkStart w:id="177"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7"/>
    <w:bookmarkStart w:id="178"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8"/>
    <w:bookmarkStart w:id="179"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9"/>
    <w:bookmarkStart w:id="180"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80"/>
    <w:bookmarkStart w:id="181"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81"/>
    <w:bookmarkStart w:id="182"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2"/>
    <w:bookmarkStart w:id="183"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3"/>
    <w:bookmarkStart w:id="184"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4"/>
    <w:bookmarkStart w:id="185"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5"/>
    <w:bookmarkStart w:id="186"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6"/>
    <w:bookmarkStart w:id="187"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7"/>
    <w:bookmarkStart w:id="188"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8"/>
    <w:bookmarkStart w:id="189"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9"/>
    <w:bookmarkStart w:id="190"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90"/>
    <w:bookmarkStart w:id="191"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91"/>
    <w:bookmarkStart w:id="19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2"/>
    <w:bookmarkStart w:id="193"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3"/>
    <w:bookmarkStart w:id="194"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4"/>
    <w:bookmarkStart w:id="195"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5"/>
    <w:bookmarkStart w:id="196"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6"/>
    <w:bookmarkStart w:id="197"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7"/>
    <w:bookmarkStart w:id="198"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8"/>
    <w:bookmarkStart w:id="199"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9"/>
    <w:bookmarkStart w:id="200"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00"/>
    <w:bookmarkStart w:id="201"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01"/>
    <w:bookmarkStart w:id="202"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02"/>
    <w:bookmarkStart w:id="203"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3"/>
    <w:bookmarkStart w:id="204"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4"/>
    <w:bookmarkStart w:id="205"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5"/>
    <w:bookmarkStart w:id="206"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6"/>
    <w:bookmarkStart w:id="207"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7"/>
    <w:bookmarkStart w:id="208"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8"/>
    <w:bookmarkStart w:id="209"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9"/>
    <w:bookmarkStart w:id="210"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10"/>
    <w:bookmarkStart w:id="211"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11"/>
    <w:bookmarkStart w:id="212"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12"/>
    <w:bookmarkStart w:id="213"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3"/>
    <w:bookmarkStart w:id="214"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4"/>
    <w:bookmarkStart w:id="215"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5"/>
    <w:bookmarkStart w:id="216"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6"/>
    <w:bookmarkStart w:id="217"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7"/>
    <w:bookmarkStart w:id="218"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8"/>
    <w:bookmarkStart w:id="219"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9"/>
    <w:bookmarkStart w:id="220"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20"/>
    <w:bookmarkStart w:id="221"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21"/>
    <w:bookmarkStart w:id="222"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2"/>
    <w:bookmarkStart w:id="223"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3"/>
    <w:bookmarkStart w:id="224"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4"/>
    <w:bookmarkStart w:id="225"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5"/>
    <w:bookmarkStart w:id="226"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26"/>
    <w:bookmarkStart w:id="227"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7"/>
    <w:bookmarkStart w:id="228"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8"/>
    <w:bookmarkStart w:id="229"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29"/>
    <w:bookmarkStart w:id="230"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30"/>
    <w:bookmarkStart w:id="23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31"/>
    <w:bookmarkStart w:id="23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32"/>
    <w:bookmarkStart w:id="23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33"/>
    <w:bookmarkStart w:id="234"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34"/>
    <w:bookmarkStart w:id="23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5"/>
    <w:bookmarkStart w:id="23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6"/>
    <w:bookmarkStart w:id="237"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7"/>
    <w:bookmarkStart w:id="238"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8"/>
    <w:bookmarkStart w:id="23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9"/>
    <w:bookmarkStart w:id="24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40"/>
    <w:bookmarkStart w:id="24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41"/>
    <w:bookmarkStart w:id="24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42"/>
    <w:bookmarkStart w:id="24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43"/>
    <w:bookmarkStart w:id="24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44"/>
    <w:bookmarkStart w:id="245"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5"/>
    <w:bookmarkStart w:id="24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6"/>
    <w:bookmarkStart w:id="24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7"/>
    <w:bookmarkStart w:id="24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8"/>
    <w:bookmarkStart w:id="24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9"/>
    <w:bookmarkStart w:id="25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50"/>
    <w:bookmarkStart w:id="25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51"/>
    <w:bookmarkStart w:id="25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52"/>
    <w:bookmarkStart w:id="253"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53"/>
    <w:bookmarkStart w:id="254"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54"/>
    <w:bookmarkStart w:id="255"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5"/>
    <w:bookmarkEnd w:id="256"/>
    <w:bookmarkEnd w:id="257"/>
    <w:bookmarkEnd w:id="2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2021-08-08T21:25:31Z</dcterms:created>
  <dcterms:modified xsi:type="dcterms:W3CDTF">2021-08-08T21:25:31Z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